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05" w:rsidRPr="004F5B98" w:rsidRDefault="00903F05" w:rsidP="00903F05">
      <w:pPr>
        <w:rPr>
          <w:rFonts w:cs="Arial"/>
          <w:szCs w:val="20"/>
          <w:u w:val="single"/>
        </w:rPr>
      </w:pPr>
      <w:r w:rsidRPr="004F5B98">
        <w:rPr>
          <w:rFonts w:cs="Arial"/>
          <w:szCs w:val="20"/>
          <w:u w:val="single"/>
        </w:rPr>
        <w:t>Afstandskrav</w:t>
      </w:r>
    </w:p>
    <w:p w:rsidR="00903F05" w:rsidRDefault="00903F05" w:rsidP="00903F05">
      <w:pPr>
        <w:rPr>
          <w:rFonts w:cs="Arial"/>
          <w:szCs w:val="20"/>
        </w:rPr>
      </w:pPr>
      <w:r>
        <w:rPr>
          <w:rFonts w:cs="Arial"/>
          <w:szCs w:val="20"/>
        </w:rPr>
        <w:t xml:space="preserve">Kontrollér at afstandskrav til bygninger (5m for beboelseshuse med/uden kælder, hus uden beboelse med kælder 5m, hus uden beboelse og uden kælder 2m), skel (2m), boringer (25m) og beskyttede naturtyper (25m) er overholdt. Undersøg om ejendommen er kortlagt som forurenet. </w:t>
      </w:r>
    </w:p>
    <w:p w:rsidR="00903F05" w:rsidRDefault="00903F05" w:rsidP="00903F05">
      <w:pPr>
        <w:rPr>
          <w:rFonts w:cs="Arial"/>
          <w:szCs w:val="20"/>
        </w:rPr>
      </w:pPr>
    </w:p>
    <w:p w:rsidR="00903F05" w:rsidRPr="004F5B98" w:rsidRDefault="00903F05" w:rsidP="00903F05">
      <w:pPr>
        <w:rPr>
          <w:rFonts w:cs="Arial"/>
          <w:szCs w:val="20"/>
          <w:u w:val="single"/>
        </w:rPr>
      </w:pPr>
      <w:r w:rsidRPr="004F5B98">
        <w:rPr>
          <w:rFonts w:cs="Arial"/>
          <w:szCs w:val="20"/>
          <w:u w:val="single"/>
        </w:rPr>
        <w:t>Hvor stor skal faskinen være?</w:t>
      </w:r>
    </w:p>
    <w:p w:rsidR="00903F05" w:rsidRDefault="00903F05" w:rsidP="00903F05">
      <w:pPr>
        <w:rPr>
          <w:rFonts w:cs="Arial"/>
          <w:szCs w:val="20"/>
        </w:rPr>
      </w:pPr>
      <w:r>
        <w:rPr>
          <w:rFonts w:cs="Arial"/>
          <w:szCs w:val="20"/>
        </w:rPr>
        <w:t>Vurder om nedsivningsanlægget er dimensioneret efter det areal, der ønskes nedsivet fra. Der er meget stor forskel på, hvor meget de forskellige ”</w:t>
      </w:r>
      <w:proofErr w:type="spellStart"/>
      <w:r>
        <w:rPr>
          <w:rFonts w:cs="Arial"/>
          <w:szCs w:val="20"/>
        </w:rPr>
        <w:t>faskinematerialer</w:t>
      </w:r>
      <w:proofErr w:type="spellEnd"/>
      <w:r>
        <w:rPr>
          <w:rFonts w:cs="Arial"/>
          <w:szCs w:val="20"/>
        </w:rPr>
        <w:t>” kan tilbageholde af regnvand, fordi de har forskellig hulrumsprocent. Jo højere hulrumsprocent jo mere vand kan faskinen tilbageholde:</w:t>
      </w:r>
    </w:p>
    <w:p w:rsidR="00903F05" w:rsidRDefault="00903F05" w:rsidP="00903F05">
      <w:pPr>
        <w:rPr>
          <w:rFonts w:cs="Arial"/>
          <w:szCs w:val="20"/>
        </w:rPr>
      </w:pPr>
      <w:r>
        <w:rPr>
          <w:rFonts w:cs="Arial"/>
          <w:szCs w:val="20"/>
        </w:rPr>
        <w:t>Bioblokke (hulrums procent på 96)</w:t>
      </w:r>
    </w:p>
    <w:p w:rsidR="00903F05" w:rsidRDefault="00903F05" w:rsidP="00903F05">
      <w:pPr>
        <w:rPr>
          <w:rFonts w:cs="Arial"/>
          <w:szCs w:val="20"/>
        </w:rPr>
      </w:pPr>
      <w:proofErr w:type="spellStart"/>
      <w:r>
        <w:rPr>
          <w:rFonts w:cs="Arial"/>
          <w:szCs w:val="20"/>
        </w:rPr>
        <w:t>Plastkasetter</w:t>
      </w:r>
      <w:proofErr w:type="spellEnd"/>
      <w:r>
        <w:rPr>
          <w:rFonts w:cs="Arial"/>
          <w:szCs w:val="20"/>
        </w:rPr>
        <w:t>(hulrums procent på 95)</w:t>
      </w:r>
    </w:p>
    <w:p w:rsidR="00903F05" w:rsidRDefault="00903F05" w:rsidP="00903F05">
      <w:pPr>
        <w:rPr>
          <w:rFonts w:cs="Arial"/>
          <w:szCs w:val="20"/>
        </w:rPr>
      </w:pPr>
      <w:r>
        <w:rPr>
          <w:rFonts w:cs="Arial"/>
          <w:szCs w:val="20"/>
        </w:rPr>
        <w:t>Singles (hulrums procent på 25)</w:t>
      </w:r>
    </w:p>
    <w:p w:rsidR="00903F05" w:rsidRDefault="00903F05" w:rsidP="00903F05">
      <w:pPr>
        <w:rPr>
          <w:rFonts w:cs="Arial"/>
          <w:szCs w:val="20"/>
        </w:rPr>
      </w:pPr>
    </w:p>
    <w:p w:rsidR="00903F05" w:rsidRPr="00903F05" w:rsidRDefault="00903F05" w:rsidP="00903F05">
      <w:pPr>
        <w:rPr>
          <w:szCs w:val="20"/>
        </w:rPr>
      </w:pPr>
      <w:r>
        <w:rPr>
          <w:szCs w:val="20"/>
        </w:rPr>
        <w:t xml:space="preserve">Normen for størrelsen på faskiner fra Danmarks Teknologiske Instituts </w:t>
      </w:r>
      <w:r>
        <w:rPr>
          <w:lang w:eastAsia="en-US"/>
        </w:rPr>
        <w:t>Rørcenteranvisning er beregnet</w:t>
      </w:r>
      <w:r>
        <w:rPr>
          <w:rFonts w:cs="Arial"/>
          <w:szCs w:val="20"/>
        </w:rPr>
        <w:t xml:space="preserve"> ud fra antagelsen om, at det regner i 10 minutter. </w:t>
      </w:r>
    </w:p>
    <w:p w:rsidR="00903F05" w:rsidRDefault="00903F05" w:rsidP="00903F05">
      <w:pPr>
        <w:rPr>
          <w:rFonts w:cs="Arial"/>
          <w:szCs w:val="20"/>
        </w:rPr>
      </w:pPr>
      <w:r>
        <w:rPr>
          <w:rFonts w:cs="Arial"/>
          <w:szCs w:val="20"/>
        </w:rPr>
        <w:t xml:space="preserve">Albertslund Kommune anbefaler derfor større faskiner end den tilladte mindstestørrelse, da det reelt regner mere end 10 minutter ad gangen. </w:t>
      </w:r>
    </w:p>
    <w:p w:rsidR="00903F05" w:rsidRDefault="00903F05" w:rsidP="00903F05">
      <w:pPr>
        <w:rPr>
          <w:rFonts w:cs="Arial"/>
          <w:szCs w:val="20"/>
        </w:rPr>
      </w:pPr>
      <w:r>
        <w:rPr>
          <w:rFonts w:cs="Arial"/>
          <w:szCs w:val="20"/>
        </w:rPr>
        <w:t xml:space="preserve">I tabellen nedenfor er både angivet Rørcenter anvisningens afvandingskapacitet for de forskellige </w:t>
      </w:r>
      <w:proofErr w:type="spellStart"/>
      <w:r>
        <w:rPr>
          <w:rFonts w:cs="Arial"/>
          <w:szCs w:val="20"/>
        </w:rPr>
        <w:t>faskinematerialer</w:t>
      </w:r>
      <w:proofErr w:type="spellEnd"/>
      <w:r>
        <w:rPr>
          <w:rFonts w:cs="Arial"/>
          <w:szCs w:val="20"/>
        </w:rPr>
        <w:t xml:space="preserve"> og Kommunens anbefalinger til afvandingskapacitet for de forskellige </w:t>
      </w:r>
      <w:proofErr w:type="spellStart"/>
      <w:r>
        <w:rPr>
          <w:rFonts w:cs="Arial"/>
          <w:szCs w:val="20"/>
        </w:rPr>
        <w:t>faskinematerialer</w:t>
      </w:r>
      <w:proofErr w:type="spellEnd"/>
      <w:r>
        <w:rPr>
          <w:rFonts w:cs="Arial"/>
          <w:szCs w:val="20"/>
        </w:rPr>
        <w:t>. Der er en faktor 4 mellem de to afvandingskapaciteter.</w:t>
      </w:r>
    </w:p>
    <w:p w:rsidR="00903F05" w:rsidRDefault="00903F05" w:rsidP="00903F05">
      <w:pPr>
        <w:rPr>
          <w:rFonts w:cs="Arial"/>
          <w:szCs w:val="20"/>
        </w:rPr>
      </w:pPr>
    </w:p>
    <w:p w:rsidR="00903F05" w:rsidRDefault="00903F05" w:rsidP="00903F05">
      <w:r>
        <w:t>I lerjord dimensioneres faskiner på grundlag af regnskyl af 10 minutters varighed og en intensitet på 140l/s/ha.</w:t>
      </w:r>
    </w:p>
    <w:p w:rsidR="00903F05" w:rsidRDefault="00903F05" w:rsidP="00903F05">
      <w:r>
        <w:t>Faskinens effektive rumfang er rumfanget over grundvandsspejl.</w:t>
      </w:r>
    </w:p>
    <w:p w:rsidR="00903F05" w:rsidRDefault="00903F05" w:rsidP="00903F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3283"/>
        <w:gridCol w:w="3116"/>
      </w:tblGrid>
      <w:tr w:rsidR="00903F05" w:rsidTr="002A74CE">
        <w:tc>
          <w:tcPr>
            <w:tcW w:w="5979" w:type="dxa"/>
            <w:shd w:val="clear" w:color="auto" w:fill="auto"/>
          </w:tcPr>
          <w:p w:rsidR="00903F05" w:rsidRPr="00834097" w:rsidRDefault="00903F05" w:rsidP="002A74CE">
            <w:pPr>
              <w:rPr>
                <w:b/>
              </w:rPr>
            </w:pPr>
            <w:proofErr w:type="spellStart"/>
            <w:r w:rsidRPr="00834097">
              <w:rPr>
                <w:b/>
              </w:rPr>
              <w:t>Faskinemateriale</w:t>
            </w:r>
            <w:proofErr w:type="spellEnd"/>
          </w:p>
        </w:tc>
        <w:tc>
          <w:tcPr>
            <w:tcW w:w="5979" w:type="dxa"/>
            <w:shd w:val="clear" w:color="auto" w:fill="auto"/>
          </w:tcPr>
          <w:p w:rsidR="00903F05" w:rsidRPr="00834097" w:rsidRDefault="00903F05" w:rsidP="002A74CE">
            <w:pPr>
              <w:rPr>
                <w:b/>
              </w:rPr>
            </w:pPr>
            <w:r w:rsidRPr="00834097">
              <w:rPr>
                <w:b/>
              </w:rPr>
              <w:t xml:space="preserve">Afvandingskapacitet iht. Rørcenteranvisningen/ Norm </w:t>
            </w:r>
          </w:p>
        </w:tc>
        <w:tc>
          <w:tcPr>
            <w:tcW w:w="5979" w:type="dxa"/>
            <w:shd w:val="clear" w:color="auto" w:fill="auto"/>
          </w:tcPr>
          <w:p w:rsidR="00903F05" w:rsidRPr="00834097" w:rsidRDefault="00903F05" w:rsidP="00903F05">
            <w:pPr>
              <w:rPr>
                <w:b/>
              </w:rPr>
            </w:pPr>
            <w:r w:rsidRPr="00834097">
              <w:rPr>
                <w:b/>
              </w:rPr>
              <w:t xml:space="preserve">Afvandingskapacitet iht. </w:t>
            </w:r>
            <w:r>
              <w:rPr>
                <w:b/>
              </w:rPr>
              <w:t>Kommunens</w:t>
            </w:r>
            <w:r w:rsidRPr="00834097">
              <w:rPr>
                <w:b/>
              </w:rPr>
              <w:t xml:space="preserve"> anbefalinger</w:t>
            </w:r>
          </w:p>
        </w:tc>
      </w:tr>
      <w:tr w:rsidR="00903F05" w:rsidTr="002A74CE">
        <w:tc>
          <w:tcPr>
            <w:tcW w:w="5979" w:type="dxa"/>
            <w:shd w:val="clear" w:color="auto" w:fill="auto"/>
          </w:tcPr>
          <w:p w:rsidR="00903F05" w:rsidRDefault="00903F05" w:rsidP="002A74CE">
            <w:smartTag w:uri="urn:schemas-microsoft-com:office:smarttags" w:element="metricconverter">
              <w:smartTagPr>
                <w:attr w:name="ProductID" w:val="1 m3"/>
              </w:smartTagPr>
              <w:r w:rsidRPr="00834097">
                <w:rPr>
                  <w:b/>
                </w:rPr>
                <w:t>1 m3</w:t>
              </w:r>
            </w:smartTag>
            <w:r>
              <w:t xml:space="preserve"> faskine udført med </w:t>
            </w:r>
            <w:r w:rsidRPr="00834097">
              <w:rPr>
                <w:b/>
              </w:rPr>
              <w:t>plastkassetter</w:t>
            </w:r>
          </w:p>
        </w:tc>
        <w:tc>
          <w:tcPr>
            <w:tcW w:w="5979" w:type="dxa"/>
            <w:shd w:val="clear" w:color="auto" w:fill="auto"/>
          </w:tcPr>
          <w:p w:rsidR="00903F05" w:rsidRPr="00834097" w:rsidRDefault="00903F05" w:rsidP="002A74CE">
            <w:pPr>
              <w:rPr>
                <w:highlight w:val="yellow"/>
              </w:rPr>
            </w:pPr>
            <w:smartTag w:uri="urn:schemas-microsoft-com:office:smarttags" w:element="metricconverter">
              <w:smartTagPr>
                <w:attr w:name="ProductID" w:val="120 m2"/>
              </w:smartTagPr>
              <w:r w:rsidRPr="00834097">
                <w:rPr>
                  <w:highlight w:val="yellow"/>
                </w:rPr>
                <w:t>120 m</w:t>
              </w:r>
              <w:r w:rsidRPr="00834097">
                <w:rPr>
                  <w:highlight w:val="yellow"/>
                  <w:vertAlign w:val="superscript"/>
                </w:rPr>
                <w:t>2</w:t>
              </w:r>
            </w:smartTag>
            <w:r w:rsidRPr="00834097">
              <w:rPr>
                <w:highlight w:val="yellow"/>
              </w:rPr>
              <w:t xml:space="preserve"> tag/overfladeareal</w:t>
            </w:r>
          </w:p>
        </w:tc>
        <w:tc>
          <w:tcPr>
            <w:tcW w:w="5979" w:type="dxa"/>
            <w:shd w:val="clear" w:color="auto" w:fill="auto"/>
          </w:tcPr>
          <w:p w:rsidR="00903F05" w:rsidRPr="00834097" w:rsidRDefault="00903F05" w:rsidP="002A74CE">
            <w:pPr>
              <w:rPr>
                <w:highlight w:val="green"/>
              </w:rPr>
            </w:pPr>
            <w:smartTag w:uri="urn:schemas-microsoft-com:office:smarttags" w:element="metricconverter">
              <w:smartTagPr>
                <w:attr w:name="ProductID" w:val="30 m2"/>
              </w:smartTagPr>
              <w:r w:rsidRPr="00834097">
                <w:rPr>
                  <w:highlight w:val="green"/>
                </w:rPr>
                <w:t>30 m</w:t>
              </w:r>
              <w:r w:rsidRPr="00834097">
                <w:rPr>
                  <w:highlight w:val="green"/>
                  <w:vertAlign w:val="superscript"/>
                </w:rPr>
                <w:t>2</w:t>
              </w:r>
            </w:smartTag>
            <w:r w:rsidRPr="00834097">
              <w:rPr>
                <w:highlight w:val="green"/>
                <w:vertAlign w:val="superscript"/>
              </w:rPr>
              <w:t xml:space="preserve"> </w:t>
            </w:r>
            <w:r w:rsidRPr="00834097">
              <w:rPr>
                <w:highlight w:val="green"/>
              </w:rPr>
              <w:t>tag/overfladeareal</w:t>
            </w:r>
          </w:p>
        </w:tc>
      </w:tr>
      <w:tr w:rsidR="00903F05" w:rsidTr="002A74CE">
        <w:tc>
          <w:tcPr>
            <w:tcW w:w="5979" w:type="dxa"/>
            <w:shd w:val="clear" w:color="auto" w:fill="auto"/>
          </w:tcPr>
          <w:p w:rsidR="00903F05" w:rsidRDefault="00903F05" w:rsidP="002A74CE">
            <w:smartTag w:uri="urn:schemas-microsoft-com:office:smarttags" w:element="metricconverter">
              <w:smartTagPr>
                <w:attr w:name="ProductID" w:val="1 m3"/>
              </w:smartTagPr>
              <w:r w:rsidRPr="00834097">
                <w:rPr>
                  <w:b/>
                </w:rPr>
                <w:t>1 m3</w:t>
              </w:r>
            </w:smartTag>
            <w:r>
              <w:t xml:space="preserve"> faskine udført med </w:t>
            </w:r>
            <w:proofErr w:type="spellStart"/>
            <w:r w:rsidRPr="00834097">
              <w:rPr>
                <w:b/>
              </w:rPr>
              <w:t>letklinker</w:t>
            </w:r>
            <w:proofErr w:type="spellEnd"/>
            <w:r w:rsidRPr="00834097">
              <w:rPr>
                <w:b/>
              </w:rPr>
              <w:t xml:space="preserve"> </w:t>
            </w:r>
            <w:r>
              <w:t>(</w:t>
            </w:r>
            <w:proofErr w:type="spellStart"/>
            <w:r>
              <w:t>Leca</w:t>
            </w:r>
            <w:proofErr w:type="spellEnd"/>
            <w:r>
              <w:t>)</w:t>
            </w:r>
          </w:p>
        </w:tc>
        <w:tc>
          <w:tcPr>
            <w:tcW w:w="5979" w:type="dxa"/>
            <w:shd w:val="clear" w:color="auto" w:fill="auto"/>
          </w:tcPr>
          <w:p w:rsidR="00903F05" w:rsidRPr="00834097" w:rsidRDefault="00903F05" w:rsidP="002A74CE">
            <w:pPr>
              <w:rPr>
                <w:highlight w:val="yellow"/>
              </w:rPr>
            </w:pPr>
            <w:r w:rsidRPr="00834097">
              <w:rPr>
                <w:highlight w:val="yellow"/>
              </w:rPr>
              <w:t xml:space="preserve">til </w:t>
            </w:r>
            <w:smartTag w:uri="urn:schemas-microsoft-com:office:smarttags" w:element="metricconverter">
              <w:smartTagPr>
                <w:attr w:name="ProductID" w:val="60 m2"/>
              </w:smartTagPr>
              <w:r w:rsidRPr="00834097">
                <w:rPr>
                  <w:highlight w:val="yellow"/>
                </w:rPr>
                <w:t>60 m</w:t>
              </w:r>
              <w:r w:rsidRPr="00834097">
                <w:rPr>
                  <w:highlight w:val="yellow"/>
                  <w:vertAlign w:val="superscript"/>
                </w:rPr>
                <w:t>2</w:t>
              </w:r>
            </w:smartTag>
            <w:r w:rsidRPr="00834097">
              <w:rPr>
                <w:highlight w:val="yellow"/>
              </w:rPr>
              <w:t xml:space="preserve"> tag/overfladeareal</w:t>
            </w:r>
          </w:p>
        </w:tc>
        <w:tc>
          <w:tcPr>
            <w:tcW w:w="5979" w:type="dxa"/>
            <w:shd w:val="clear" w:color="auto" w:fill="auto"/>
          </w:tcPr>
          <w:p w:rsidR="00903F05" w:rsidRPr="00834097" w:rsidRDefault="00903F05" w:rsidP="002A74CE">
            <w:pPr>
              <w:rPr>
                <w:highlight w:val="green"/>
              </w:rPr>
            </w:pPr>
            <w:smartTag w:uri="urn:schemas-microsoft-com:office:smarttags" w:element="metricconverter">
              <w:smartTagPr>
                <w:attr w:name="ProductID" w:val="15 m2"/>
              </w:smartTagPr>
              <w:r w:rsidRPr="00834097">
                <w:rPr>
                  <w:highlight w:val="green"/>
                </w:rPr>
                <w:t>15 m</w:t>
              </w:r>
              <w:r w:rsidRPr="00834097">
                <w:rPr>
                  <w:highlight w:val="green"/>
                  <w:vertAlign w:val="superscript"/>
                </w:rPr>
                <w:t>2</w:t>
              </w:r>
            </w:smartTag>
            <w:r w:rsidRPr="00834097">
              <w:rPr>
                <w:highlight w:val="green"/>
              </w:rPr>
              <w:t xml:space="preserve"> tag/overfladeareal</w:t>
            </w:r>
          </w:p>
        </w:tc>
      </w:tr>
      <w:tr w:rsidR="00903F05" w:rsidTr="002A74CE">
        <w:tc>
          <w:tcPr>
            <w:tcW w:w="5979" w:type="dxa"/>
            <w:shd w:val="clear" w:color="auto" w:fill="auto"/>
          </w:tcPr>
          <w:p w:rsidR="00903F05" w:rsidRDefault="00903F05" w:rsidP="002A74CE">
            <w:smartTag w:uri="urn:schemas-microsoft-com:office:smarttags" w:element="metricconverter">
              <w:smartTagPr>
                <w:attr w:name="ProductID" w:val="1 m3"/>
              </w:smartTagPr>
              <w:r w:rsidRPr="00834097">
                <w:rPr>
                  <w:b/>
                </w:rPr>
                <w:t>1 m3</w:t>
              </w:r>
            </w:smartTag>
            <w:r>
              <w:t xml:space="preserve"> faskine udført med </w:t>
            </w:r>
            <w:r w:rsidRPr="00834097">
              <w:rPr>
                <w:b/>
              </w:rPr>
              <w:t>singles</w:t>
            </w:r>
            <w:r>
              <w:t xml:space="preserve"> (32-</w:t>
            </w:r>
            <w:smartTag w:uri="urn:schemas-microsoft-com:office:smarttags" w:element="metricconverter">
              <w:smartTagPr>
                <w:attr w:name="ProductID" w:val="64 mm"/>
              </w:smartTagPr>
              <w:r>
                <w:t>64 mm</w:t>
              </w:r>
            </w:smartTag>
            <w:r>
              <w:t xml:space="preserve"> sten)</w:t>
            </w:r>
          </w:p>
        </w:tc>
        <w:tc>
          <w:tcPr>
            <w:tcW w:w="5979" w:type="dxa"/>
            <w:shd w:val="clear" w:color="auto" w:fill="auto"/>
          </w:tcPr>
          <w:p w:rsidR="00903F05" w:rsidRPr="00834097" w:rsidRDefault="00903F05" w:rsidP="002A74CE">
            <w:pPr>
              <w:rPr>
                <w:highlight w:val="yellow"/>
              </w:rPr>
            </w:pPr>
            <w:r w:rsidRPr="00834097">
              <w:rPr>
                <w:highlight w:val="yellow"/>
              </w:rPr>
              <w:t xml:space="preserve">til </w:t>
            </w:r>
            <w:smartTag w:uri="urn:schemas-microsoft-com:office:smarttags" w:element="metricconverter">
              <w:smartTagPr>
                <w:attr w:name="ProductID" w:val="30 m2"/>
              </w:smartTagPr>
              <w:r w:rsidRPr="00834097">
                <w:rPr>
                  <w:highlight w:val="yellow"/>
                </w:rPr>
                <w:t>30 m</w:t>
              </w:r>
              <w:r w:rsidRPr="00834097">
                <w:rPr>
                  <w:highlight w:val="yellow"/>
                  <w:vertAlign w:val="superscript"/>
                </w:rPr>
                <w:t>2</w:t>
              </w:r>
            </w:smartTag>
            <w:r w:rsidRPr="00834097">
              <w:rPr>
                <w:highlight w:val="yellow"/>
              </w:rPr>
              <w:t xml:space="preserve"> tag/overfladeareal</w:t>
            </w:r>
          </w:p>
        </w:tc>
        <w:tc>
          <w:tcPr>
            <w:tcW w:w="5979" w:type="dxa"/>
            <w:shd w:val="clear" w:color="auto" w:fill="auto"/>
          </w:tcPr>
          <w:p w:rsidR="00903F05" w:rsidRPr="00834097" w:rsidRDefault="00903F05" w:rsidP="002A74CE">
            <w:pPr>
              <w:rPr>
                <w:highlight w:val="green"/>
              </w:rPr>
            </w:pPr>
            <w:smartTag w:uri="urn:schemas-microsoft-com:office:smarttags" w:element="metricconverter">
              <w:smartTagPr>
                <w:attr w:name="ProductID" w:val="7,5 m2"/>
              </w:smartTagPr>
              <w:r w:rsidRPr="00834097">
                <w:rPr>
                  <w:highlight w:val="green"/>
                </w:rPr>
                <w:t>7,5 m</w:t>
              </w:r>
              <w:r w:rsidRPr="00834097">
                <w:rPr>
                  <w:highlight w:val="green"/>
                  <w:vertAlign w:val="superscript"/>
                </w:rPr>
                <w:t>2</w:t>
              </w:r>
            </w:smartTag>
            <w:r w:rsidRPr="00834097">
              <w:rPr>
                <w:highlight w:val="green"/>
              </w:rPr>
              <w:t xml:space="preserve"> tag/overfladeareal</w:t>
            </w:r>
          </w:p>
        </w:tc>
      </w:tr>
    </w:tbl>
    <w:p w:rsidR="00903F05" w:rsidRDefault="00903F05" w:rsidP="00903F05"/>
    <w:p w:rsidR="00903F05" w:rsidRDefault="00903F05" w:rsidP="00903F05">
      <w:r>
        <w:t xml:space="preserve">Husk at der før tilløb til faskinen skal etableres en </w:t>
      </w:r>
      <w:proofErr w:type="spellStart"/>
      <w:r>
        <w:t>sandfangsbrønd</w:t>
      </w:r>
      <w:proofErr w:type="spellEnd"/>
      <w:r>
        <w:t>, som oprenses 2 gange det første år og minimum 1 gang årligt efterfølgende. Dette er vigtigt da faskinen ellers vil fyldes med blade, sand osv.</w:t>
      </w:r>
    </w:p>
    <w:p w:rsidR="00903F05" w:rsidRDefault="00903F05" w:rsidP="00903F05">
      <w:pPr>
        <w:rPr>
          <w:rFonts w:cs="Arial"/>
          <w:szCs w:val="20"/>
        </w:rPr>
      </w:pPr>
    </w:p>
    <w:p w:rsidR="00903F05" w:rsidRPr="00F33D5B" w:rsidRDefault="00903F05" w:rsidP="00903F05">
      <w:pPr>
        <w:rPr>
          <w:rFonts w:cs="Arial"/>
          <w:szCs w:val="20"/>
          <w:u w:val="single"/>
        </w:rPr>
      </w:pPr>
      <w:r w:rsidRPr="00F33D5B">
        <w:rPr>
          <w:rFonts w:cs="Arial"/>
          <w:szCs w:val="20"/>
          <w:u w:val="single"/>
        </w:rPr>
        <w:t>Overløb til kloak eller frakobling af regnvandssystemet?</w:t>
      </w:r>
    </w:p>
    <w:p w:rsidR="00903F05" w:rsidRDefault="00903F05" w:rsidP="00903F05">
      <w:pPr>
        <w:rPr>
          <w:rFonts w:cs="Arial"/>
          <w:szCs w:val="20"/>
        </w:rPr>
      </w:pPr>
      <w:r>
        <w:rPr>
          <w:rFonts w:cs="Arial"/>
          <w:szCs w:val="20"/>
        </w:rPr>
        <w:t xml:space="preserve">Hvis der </w:t>
      </w:r>
      <w:r w:rsidRPr="00273861">
        <w:rPr>
          <w:rFonts w:cs="Arial"/>
          <w:i/>
          <w:szCs w:val="20"/>
        </w:rPr>
        <w:t>laves overløb til kloak</w:t>
      </w:r>
      <w:r>
        <w:rPr>
          <w:rFonts w:cs="Arial"/>
          <w:szCs w:val="20"/>
        </w:rPr>
        <w:t xml:space="preserve"> (løber vandet, som ikke kan være i faskinen (dimensioneret efter Rørcentrets anvisning), videre til regnvandssystemet, kan ansøgeren</w:t>
      </w:r>
      <w:r w:rsidRPr="00273861">
        <w:rPr>
          <w:rFonts w:cs="Arial"/>
          <w:i/>
          <w:szCs w:val="20"/>
        </w:rPr>
        <w:t xml:space="preserve"> ikke</w:t>
      </w:r>
      <w:r>
        <w:rPr>
          <w:rFonts w:cs="Arial"/>
          <w:szCs w:val="20"/>
        </w:rPr>
        <w:t xml:space="preserve"> regne med at få fuldt tilbagebetalt tilslutningsbidrag, fordi en masse vand vil løbe i regnvandssystemet, hvis det virkeligt regner meget).</w:t>
      </w:r>
    </w:p>
    <w:p w:rsidR="00903F05" w:rsidRDefault="00903F05" w:rsidP="00903F05">
      <w:pPr>
        <w:rPr>
          <w:rFonts w:cs="Arial"/>
          <w:szCs w:val="20"/>
        </w:rPr>
      </w:pPr>
    </w:p>
    <w:p w:rsidR="00853277" w:rsidRDefault="00903F05" w:rsidP="00903F05">
      <w:r>
        <w:rPr>
          <w:rFonts w:cs="Arial"/>
          <w:szCs w:val="20"/>
        </w:rPr>
        <w:t xml:space="preserve">Hvis </w:t>
      </w:r>
      <w:r w:rsidRPr="004F5B98">
        <w:rPr>
          <w:rFonts w:cs="Arial"/>
          <w:i/>
          <w:szCs w:val="20"/>
        </w:rPr>
        <w:t>regnvandskloakken afkobles</w:t>
      </w:r>
      <w:r w:rsidR="007D15A9">
        <w:rPr>
          <w:rFonts w:cs="Arial"/>
          <w:szCs w:val="20"/>
        </w:rPr>
        <w:t>, det vil sige</w:t>
      </w:r>
      <w:r>
        <w:rPr>
          <w:rFonts w:cs="Arial"/>
          <w:szCs w:val="20"/>
        </w:rPr>
        <w:t xml:space="preserve"> hvis faskinen skal opsamle alt vand fra tagarealet, kan ansøgerne få fuldt tilslutningsbidrag tilbage (beregnet ud fra den del af det tot</w:t>
      </w:r>
      <w:r w:rsidR="007D15A9" w:rsidRPr="007D15A9">
        <w:rPr>
          <w:rFonts w:cs="Arial"/>
          <w:szCs w:val="20"/>
        </w:rPr>
        <w:t>ale areal, der afvandes fra)</w:t>
      </w:r>
      <w:r w:rsidRPr="007D15A9">
        <w:rPr>
          <w:rFonts w:cs="Arial"/>
          <w:szCs w:val="20"/>
        </w:rPr>
        <w:t xml:space="preserve">. </w:t>
      </w:r>
      <w:r w:rsidR="007D15A9" w:rsidRPr="007D15A9">
        <w:rPr>
          <w:rFonts w:cs="Arial"/>
          <w:szCs w:val="20"/>
        </w:rPr>
        <w:t>D</w:t>
      </w:r>
      <w:r w:rsidRPr="007D15A9">
        <w:rPr>
          <w:rFonts w:cs="Arial"/>
          <w:szCs w:val="20"/>
        </w:rPr>
        <w:t>et er ansøgers eget ansvar at dimensionere faskinen stor nok</w:t>
      </w:r>
      <w:r w:rsidR="007D15A9">
        <w:rPr>
          <w:rFonts w:cs="Arial"/>
          <w:szCs w:val="20"/>
        </w:rPr>
        <w:t>.</w:t>
      </w:r>
      <w:bookmarkStart w:id="0" w:name="_GoBack"/>
      <w:bookmarkEnd w:id="0"/>
    </w:p>
    <w:sectPr w:rsidR="00853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05"/>
    <w:rsid w:val="00400ECB"/>
    <w:rsid w:val="007D15A9"/>
    <w:rsid w:val="00903F05"/>
    <w:rsid w:val="00E204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05"/>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05"/>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B5181B58</Template>
  <TotalTime>10</TotalTime>
  <Pages>1</Pages>
  <Words>383</Words>
  <Characters>2340</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2014-04-30T13:58:00Z</dcterms:created>
  <dcterms:modified xsi:type="dcterms:W3CDTF">2014-05-05T08:10:00Z</dcterms:modified>
</cp:coreProperties>
</file>